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1.png" ContentType="image/png"/>
  <Override PartName="/word/media/rId41.png" ContentType="image/png"/>
  <Override PartName="/word/media/rId20.png" ContentType="image/png"/>
  <Override PartName="/word/media/rId28.png" ContentType="image/png"/>
  <Override PartName="/word/media/rId24.png" ContentType="image/png"/>
  <Override PartName="/word/media/rId32.png" ContentType="image/png"/>
  <Override PartName="/word/media/rId47.png" ContentType="image/png"/>
  <Override PartName="/word/media/rId57.png" ContentType="image/png"/>
  <Override PartName="/word/media/rId61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Additional</w:t>
      </w:r>
      <w:r>
        <w:t xml:space="preserve"> </w:t>
      </w:r>
      <w:r>
        <w:t xml:space="preserve">File</w:t>
      </w:r>
      <w:r>
        <w:t xml:space="preserve"> </w:t>
      </w:r>
      <w:r>
        <w:t xml:space="preserve">1</w:t>
      </w:r>
      <w:r>
        <w:t xml:space="preserve"> </w:t>
      </w:r>
      <w:r>
        <w:t xml:space="preserve">–</w:t>
      </w:r>
      <w:r>
        <w:t xml:space="preserve"> </w:t>
      </w:r>
      <w:r>
        <w:t xml:space="preserve">Supplement</w:t>
      </w:r>
      <w:r>
        <w:t xml:space="preserve"> </w:t>
      </w:r>
      <w:r>
        <w:t xml:space="preserve">S1-S11</w:t>
      </w:r>
    </w:p>
    <w:p>
      <w:pPr>
        <w:pStyle w:val="Date"/>
      </w:pPr>
      <w:r>
        <w:t xml:space="preserve">03</w:t>
      </w:r>
      <w:r>
        <w:t xml:space="preserve"> </w:t>
      </w:r>
      <w:r>
        <w:t xml:space="preserve">May</w:t>
      </w:r>
      <w:r>
        <w:t xml:space="preserve"> </w:t>
      </w:r>
      <w:r>
        <w:t xml:space="preserve">2024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68" w:name="supp"/>
    <w:p>
      <w:pPr>
        <w:pStyle w:val="Heading1"/>
      </w:pPr>
      <w:r>
        <w:t xml:space="preserve">Additional File 1 - Supplement S1-S11</w:t>
      </w:r>
    </w:p>
    <w:p>
      <w:pPr>
        <w:pStyle w:val="FirstParagraph"/>
      </w:pPr>
      <w:r>
        <w:t xml:space="preserve">Supplementary information for the paper</w:t>
      </w:r>
    </w:p>
    <w:p>
      <w:pPr>
        <w:pStyle w:val="BodyText"/>
      </w:pPr>
      <w:r>
        <w:rPr>
          <w:iCs/>
          <w:i/>
        </w:rPr>
        <w:t xml:space="preserve">“</w:t>
      </w:r>
      <w:r>
        <w:rPr>
          <w:iCs/>
          <w:i/>
        </w:rPr>
        <w:t xml:space="preserve">Histology-specific standardized incidence ratio improves the estimation of second primary lung cancer risk</w:t>
      </w:r>
      <w:r>
        <w:rPr>
          <w:iCs/>
          <w:i/>
        </w:rPr>
        <w:t xml:space="preserve">”</w:t>
      </w:r>
    </w:p>
    <w:p>
      <w:pPr>
        <w:pStyle w:val="BodyText"/>
      </w:pPr>
      <w:r>
        <w:t xml:space="preserve">Authors: Eberl M, Tanaka LF, Kraywinkel K, Klug SJ</w:t>
      </w:r>
    </w:p>
    <w:p>
      <w:pPr>
        <w:pStyle w:val="BodyText"/>
      </w:pPr>
      <w:r>
        <w:t xml:space="preserve">Correspondence: Marian Eberl, marian.eberl@tum.de, Chair of Epidemiology, TUM School of Medicine and Health, Technical University of Munich, Munich, Germany</w:t>
      </w:r>
    </w:p>
    <w:bookmarkStart w:id="23" w:name="supp-def"/>
    <w:p>
      <w:pPr>
        <w:pStyle w:val="Heading2"/>
      </w:pPr>
      <w:r>
        <w:t xml:space="preserve">Table S1: Comparison of IARC/IACR and SEER multiple primary rules</w:t>
      </w:r>
    </w:p>
    <w:p>
      <w:pPr>
        <w:pStyle w:val="FirstParagraph"/>
      </w:pPr>
      <w:r>
        <w:drawing>
          <wp:inline>
            <wp:extent cx="5334000" cy="4221619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../3_output/all_figs_tabs/supp_tab_def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1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supp-filter"/>
    <w:p>
      <w:pPr>
        <w:pStyle w:val="Heading2"/>
      </w:pPr>
      <w:r>
        <w:t xml:space="preserve">Table S2: Details of dataset filtering</w:t>
      </w:r>
    </w:p>
    <w:p>
      <w:pPr>
        <w:pStyle w:val="FirstParagraph"/>
      </w:pPr>
      <w:r>
        <w:drawing>
          <wp:inline>
            <wp:extent cx="5334000" cy="6665733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../3_output/all_figs_tabs/supp_tab_filter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supp-dm"/>
    <w:p>
      <w:pPr>
        <w:pStyle w:val="Heading2"/>
      </w:pPr>
      <w:r>
        <w:t xml:space="preserve">Table S3: Details of data modifications</w:t>
      </w:r>
    </w:p>
    <w:p>
      <w:pPr>
        <w:pStyle w:val="FirstParagraph"/>
      </w:pPr>
      <w:r>
        <w:drawing>
          <wp:inline>
            <wp:extent cx="5334000" cy="8024987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../3_output/all_figs_tabs/supp_tab_dm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24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5" w:name="supp-qual"/>
    <w:p>
      <w:pPr>
        <w:pStyle w:val="Heading2"/>
      </w:pPr>
      <w:r>
        <w:t xml:space="preserve">Table S4: Data quality for included regions and SIR estimates</w:t>
      </w:r>
    </w:p>
    <w:p>
      <w:pPr>
        <w:pStyle w:val="FirstParagraph"/>
      </w:pPr>
      <w:r>
        <w:drawing>
          <wp:inline>
            <wp:extent cx="5334000" cy="4008227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../3_output/all_figs_tabs/supp_tab_qual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8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Start w:id="39" w:name="supp-subtypes"/>
    <w:p>
      <w:pPr>
        <w:pStyle w:val="Heading2"/>
      </w:pPr>
      <w:r>
        <w:t xml:space="preserve">Table S5: Conversion table of histology codes into ICD-O-3 histologically</w:t>
      </w:r>
      <w:r>
        <w:t xml:space="preserve"> </w:t>
      </w:r>
      <w:r>
        <w:t xml:space="preserve">‘</w:t>
      </w:r>
      <w:r>
        <w:t xml:space="preserve">different</w:t>
      </w:r>
      <w:r>
        <w:t xml:space="preserve">’</w:t>
      </w:r>
      <w:r>
        <w:t xml:space="preserve"> </w:t>
      </w:r>
      <w:r>
        <w:t xml:space="preserve">groups and histological subtypes of lung cancer</w:t>
      </w:r>
    </w:p>
    <w:p>
      <w:pPr>
        <w:pStyle w:val="FirstParagraph"/>
      </w:pPr>
      <w:r>
        <w:drawing>
          <wp:inline>
            <wp:extent cx="5334000" cy="3098426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../3_output/all_figs_tabs/supp_tab_subtypes_def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8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Start w:id="40" w:name="X53216931c0115e357591e8e540982a2765e4360"/>
    <w:p>
      <w:pPr>
        <w:pStyle w:val="Heading2"/>
      </w:pPr>
      <w:r>
        <w:t xml:space="preserve">Section S6: Details on simulations to estimate the size of bias using standard SIR</w:t>
      </w:r>
    </w:p>
    <w:p>
      <w:pPr>
        <w:pStyle w:val="FirstParagraph"/>
      </w:pPr>
      <w:r>
        <w:t xml:space="preserve">To estimate the size of bias introduced by using general population reference rates for calculating SIR of same-site SPC when IARC/IACR MP rules are applied, we simulate various scenarios.</w:t>
      </w:r>
      <w:r>
        <w:t xml:space="preserve"> </w:t>
      </w:r>
      <w:r>
        <w:t xml:space="preserve">First, we assume that the baseline risk of LC survivors to develop an SPLC is the same as for the general population (real SIR = 1.0).</w:t>
      </w:r>
      <w:r>
        <w:t xml:space="preserve"> </w:t>
      </w:r>
      <w:r>
        <w:t xml:space="preserve">We determined the proportions of histologically different LC groups</w:t>
      </w:r>
      <w:r>
        <w:t xml:space="preserve"> </w:t>
      </w:r>
      <m:oMath>
        <m:sSub>
          <m:e>
            <m:sSub>
              <m:e>
                <m:r>
                  <m:t>p</m:t>
                </m:r>
              </m:e>
              <m:sub>
                <m:r>
                  <m:t>h</m:t>
                </m:r>
                <m:r>
                  <m:t>i</m:t>
                </m:r>
                <m:r>
                  <m:t>s</m:t>
                </m:r>
                <m:r>
                  <m:t>t</m:t>
                </m:r>
              </m:sub>
            </m:sSub>
          </m:e>
          <m:sub>
            <m:r>
              <m:t>j</m:t>
            </m:r>
          </m:sub>
        </m:sSub>
      </m:oMath>
      <w:r>
        <w:t xml:space="preserve"> </w:t>
      </w:r>
      <w:r>
        <w:t xml:space="preserve">in the analysis dataset for all index LC cases aged 30 to 99 years and excluded death certificate only (DCO) diagnoses.</w:t>
      </w:r>
      <w:r>
        <w:t xml:space="preserve"> </w:t>
      </w:r>
      <w:r>
        <w:t xml:space="preserve">Then we assumed that the SPLC would have the same histology group distribution as for the first cancer.</w:t>
      </w:r>
      <w:r>
        <w:t xml:space="preserve"> </w:t>
      </w:r>
      <w:r>
        <w:t xml:space="preserve">We expect the true SIR to be the fraction of observed and expected cases.</w:t>
      </w:r>
      <w:r>
        <w:t xml:space="preserve"> </w:t>
      </w:r>
      <w:r>
        <w:t xml:space="preserve">In the case of the no risk difference between LC survivors and the general population</w:t>
      </w:r>
      <w:r>
        <w:t xml:space="preserve"> </w:t>
      </w:r>
      <m:oMath>
        <m:r>
          <m:t>S</m:t>
        </m:r>
        <m:r>
          <m:t>I</m:t>
        </m:r>
        <m:sSub>
          <m:e>
            <m:r>
              <m:t>R</m:t>
            </m:r>
          </m:e>
          <m:sub>
            <m:r>
              <m:t>r</m:t>
            </m:r>
            <m:r>
              <m:t>e</m:t>
            </m:r>
            <m:r>
              <m:t>a</m:t>
            </m:r>
            <m:r>
              <m:t>l</m:t>
            </m:r>
          </m:sub>
        </m:sSub>
      </m:oMath>
      <w:r>
        <w:t xml:space="preserve">, the count of observed cases</w:t>
      </w:r>
      <w:r>
        <w:t xml:space="preserve"> </w:t>
      </w:r>
      <m:oMath>
        <m:r>
          <m:t>c</m:t>
        </m:r>
        <m:r>
          <m:t>o</m:t>
        </m:r>
        <m:r>
          <m:t>u</m:t>
        </m:r>
        <m:r>
          <m:t>n</m:t>
        </m:r>
        <m:sSub>
          <m:e>
            <m:r>
              <m:t>t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equals the number of expected cases (as the product of person-years at risk</w:t>
      </w:r>
      <w:r>
        <w:t xml:space="preserve"> </w:t>
      </w:r>
      <m:oMath>
        <m:r>
          <m:t>p</m:t>
        </m:r>
        <m:r>
          <m:t>y</m:t>
        </m:r>
        <m:r>
          <m:t>e</m:t>
        </m:r>
        <m:r>
          <m:t>a</m:t>
        </m:r>
        <m:r>
          <m:t>r</m:t>
        </m:r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and general population reference rates</w:t>
      </w:r>
      <w:r>
        <w:t xml:space="preserve"> </w:t>
      </w:r>
      <m:oMath>
        <m:r>
          <m:t>I</m:t>
        </m:r>
        <m:sSub>
          <m:e>
            <m:r>
              <m:t>R</m:t>
            </m:r>
          </m:e>
          <m:sub>
            <m:r>
              <m:t>i</m:t>
            </m:r>
          </m:sub>
        </m:sSub>
      </m:oMath>
      <w:r>
        <w:t xml:space="preserve">) for each specific stratum</w:t>
      </w:r>
      <w:r>
        <w:t xml:space="preserve"> </w:t>
      </w:r>
      <m:oMath>
        <m:r>
          <m:t>i</m:t>
        </m:r>
      </m:oMath>
      <w:r>
        <w:t xml:space="preserve">.</w:t>
      </w:r>
      <w:r>
        <w:t xml:space="preserve"> </w:t>
      </w:r>
      <w:r>
        <w:t xml:space="preserve">We always stratified SIR in our analyses by age, sex, region, and period using stratum-specific reference rates for the general population.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r>
            <m:t>I</m:t>
          </m:r>
          <m:r>
            <m:t>R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O</m:t>
              </m:r>
            </m:num>
            <m:den>
              <m:r>
                <m:t>E</m:t>
              </m:r>
            </m:den>
          </m:f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off"/>
                  <m:supHide m:val="off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I</m:t>
                  </m:r>
                </m:sup>
                <m:e>
                  <m:sSub>
                    <m:e>
                      <m:r>
                        <m:t>O</m:t>
                      </m:r>
                    </m:e>
                    <m:sub>
                      <m:r>
                        <m:t>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subHide m:val="off"/>
                  <m:supHide m:val="off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I</m:t>
                  </m:r>
                </m:sup>
                <m:e>
                  <m:sSub>
                    <m:e>
                      <m:r>
                        <m:t>E</m:t>
                      </m:r>
                    </m:e>
                    <m:sub>
                      <m:r>
                        <m:t>i</m:t>
                      </m:r>
                    </m:sub>
                  </m:sSub>
                </m:e>
              </m:nary>
            </m:den>
          </m:f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off"/>
                  <m:supHide m:val="off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I</m:t>
                  </m:r>
                </m:sup>
                <m:e>
                  <m:r>
                    <m:t>c</m:t>
                  </m:r>
                </m:e>
              </m:nary>
              <m:r>
                <m:t>o</m:t>
              </m:r>
              <m:r>
                <m:t>u</m:t>
              </m:r>
              <m:r>
                <m:t>n</m:t>
              </m:r>
              <m:sSub>
                <m:e>
                  <m:r>
                    <m:t>t</m:t>
                  </m:r>
                </m:e>
                <m:sub>
                  <m:r>
                    <m:t>i</m:t>
                  </m:r>
                </m:sub>
              </m:sSub>
            </m:num>
            <m:den>
              <m:nary>
                <m:naryPr>
                  <m:chr m:val="∑"/>
                  <m:limLoc m:val="undOvr"/>
                  <m:subHide m:val="off"/>
                  <m:supHide m:val="off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I</m:t>
                  </m:r>
                </m:sup>
                <m:e>
                  <m:r>
                    <m:t>p</m:t>
                  </m:r>
                </m:e>
              </m:nary>
              <m:r>
                <m:t>y</m:t>
              </m:r>
              <m:r>
                <m:t>a</m:t>
              </m:r>
              <m:r>
                <m:t>r</m:t>
              </m:r>
              <m:sSub>
                <m:e>
                  <m:r>
                    <m:t>s</m:t>
                  </m:r>
                </m:e>
                <m:sub>
                  <m:r>
                    <m:t>i</m:t>
                  </m:r>
                </m:sub>
              </m:sSub>
              <m:r>
                <m:rPr>
                  <m:sty m:val="p"/>
                </m:rPr>
                <m:t>*</m:t>
              </m:r>
              <m:r>
                <m:t>I</m:t>
              </m:r>
              <m:sSub>
                <m:e>
                  <m:r>
                    <m:t>R</m:t>
                  </m:r>
                </m:e>
                <m:sub>
                  <m:r>
                    <m:t>i</m:t>
                  </m:r>
                </m:sub>
              </m:sSub>
            </m:den>
          </m:f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S</m:t>
          </m:r>
          <m:r>
            <m:t>I</m:t>
          </m:r>
          <m:sSub>
            <m:e>
              <m:r>
                <m:t>R</m:t>
              </m:r>
            </m:e>
            <m:sub>
              <m:r>
                <m:t>r</m:t>
              </m:r>
              <m:r>
                <m:t>e</m:t>
              </m:r>
              <m:r>
                <m:t>a</m:t>
              </m:r>
              <m:r>
                <m:t>l</m:t>
              </m:r>
            </m:sub>
          </m:sSub>
          <m:d>
            <m:dPr>
              <m:begChr m:val="("/>
              <m:endChr m:val=")"/>
              <m:sepChr m:val=""/>
              <m:grow/>
            </m:dPr>
            <m:e>
              <m:r>
                <m:t>1.0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off"/>
                  <m:supHide m:val="off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I</m:t>
                  </m:r>
                </m:sup>
                <m:e>
                  <m:r>
                    <m:t>1</m:t>
                  </m:r>
                </m:e>
              </m:nary>
              <m:r>
                <m:rPr>
                  <m:sty m:val="p"/>
                </m:rPr>
                <m:t>*</m:t>
              </m:r>
              <m:sSub>
                <m:e>
                  <m:r>
                    <m:t>E</m:t>
                  </m:r>
                </m:e>
                <m:sub>
                  <m:r>
                    <m:t>i</m:t>
                  </m:r>
                </m:sub>
              </m:sSub>
            </m:num>
            <m:den>
              <m:nary>
                <m:naryPr>
                  <m:chr m:val="∑"/>
                  <m:limLoc m:val="undOvr"/>
                  <m:subHide m:val="off"/>
                  <m:supHide m:val="off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I</m:t>
                  </m:r>
                </m:sup>
                <m:e>
                  <m:sSub>
                    <m:e>
                      <m:r>
                        <m:t>E</m:t>
                      </m:r>
                    </m:e>
                    <m:sub>
                      <m:r>
                        <m:t>i</m:t>
                      </m:r>
                    </m:sub>
                  </m:sSub>
                </m:e>
              </m:nary>
            </m:den>
          </m:f>
        </m:oMath>
      </m:oMathPara>
    </w:p>
    <w:p>
      <w:pPr>
        <w:pStyle w:val="FirstParagraph"/>
      </w:pPr>
      <w:r>
        <w:t xml:space="preserve">Then we take into account that there is a correction factor</w:t>
      </w:r>
      <w:r>
        <w:t xml:space="preserve"> </w:t>
      </w:r>
      <m:oMath>
        <m:sSub>
          <m:e>
            <m:r>
              <m:t>x</m:t>
            </m:r>
          </m:e>
          <m:sub>
            <m:r>
              <m:t>h</m:t>
            </m:r>
            <m:r>
              <m:t>i</m:t>
            </m:r>
            <m:r>
              <m:t>s</m:t>
            </m:r>
            <m:r>
              <m:t>t</m:t>
            </m:r>
          </m:sub>
        </m:sSub>
      </m:oMath>
      <w:r>
        <w:t xml:space="preserve"> </w:t>
      </w:r>
      <w:r>
        <w:t xml:space="preserve">for combinations of LC and SPLC that are not possible in our observed cases according to IARC/IACR MP rules.</w:t>
      </w:r>
      <w:r>
        <w:t xml:space="preserve"> </w:t>
      </w:r>
      <w:r>
        <w:t xml:space="preserve">If we assume that the SPLC would have the same histology group distribution as for the first cancer and any histology group A can only be followed by a histology group, not A, then the correction factor is</w:t>
      </w:r>
      <w:r>
        <w:t xml:space="preserve"> </w:t>
      </w:r>
      <m:oMath>
        <m:r>
          <m:t>1</m:t>
        </m:r>
        <m:r>
          <m:rPr>
            <m:sty m:val="p"/>
          </m:rPr>
          <m:t>−</m:t>
        </m:r>
        <m:sSub>
          <m:e>
            <m:sSub>
              <m:e>
                <m:r>
                  <m:t>p</m:t>
                </m:r>
              </m:e>
              <m:sub>
                <m:r>
                  <m:t>h</m:t>
                </m:r>
                <m:r>
                  <m:t>i</m:t>
                </m:r>
                <m:r>
                  <m:t>s</m:t>
                </m:r>
                <m:r>
                  <m:t>t</m:t>
                </m:r>
              </m:sub>
            </m:sSub>
          </m:e>
          <m:sub>
            <m:r>
              <m:t>A</m:t>
            </m:r>
          </m:sub>
        </m:sSub>
      </m:oMath>
      <w:r>
        <w:t xml:space="preserve">.</w:t>
      </w:r>
      <w:r>
        <w:t xml:space="preserve"> </w:t>
      </w:r>
      <w:r>
        <w:t xml:space="preserve">This gives for the simulated SIR under IARC/IACR rules: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r>
            <m:t>I</m:t>
          </m:r>
          <m:sSub>
            <m:e>
              <m:r>
                <m:t>R</m:t>
              </m:r>
            </m:e>
            <m:sub>
              <m:r>
                <m:t>s</m:t>
              </m:r>
              <m:r>
                <m:t>i</m:t>
              </m:r>
              <m:r>
                <m:t>m</m:t>
              </m:r>
              <m:r>
                <m:t>I</m:t>
              </m:r>
              <m:r>
                <m:t>A</m:t>
              </m:r>
              <m:r>
                <m:t>R</m:t>
              </m:r>
              <m:r>
                <m:t>C</m:t>
              </m:r>
            </m:sub>
          </m:sSub>
          <m:d>
            <m:dPr>
              <m:begChr m:val="("/>
              <m:endChr m:val=")"/>
              <m:sepChr m:val=""/>
              <m:grow/>
            </m:dPr>
            <m:e>
              <m:r>
                <m:t>S</m:t>
              </m:r>
              <m:r>
                <m:t>I</m:t>
              </m:r>
              <m:sSub>
                <m:e>
                  <m:r>
                    <m:t>R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=</m:t>
              </m:r>
              <m:r>
                <m:t>1.0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O</m:t>
              </m:r>
            </m:num>
            <m:den>
              <m:r>
                <m:t>E</m:t>
              </m:r>
            </m:den>
          </m:f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off"/>
                  <m:supHide m:val="off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J</m:t>
                  </m:r>
                </m:sup>
                <m:e>
                  <m:nary>
                    <m:naryPr>
                      <m:chr m:val="∑"/>
                      <m:limLoc m:val="undOvr"/>
                      <m:subHide m:val="off"/>
                      <m:supHide m:val="off"/>
                    </m:naryPr>
                    <m:sub>
                      <m:r>
                        <m:t>i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I</m:t>
                      </m:r>
                    </m:sup>
                    <m:e>
                      <m:r>
                        <m:t>1</m:t>
                      </m:r>
                    </m:e>
                  </m:nary>
                </m:e>
              </m:nary>
              <m:r>
                <m:rPr>
                  <m:sty m:val="p"/>
                </m:rPr>
                <m:t>*</m:t>
              </m:r>
              <m:sSub>
                <m:e>
                  <m:r>
                    <m:t>E</m:t>
                  </m:r>
                </m:e>
                <m:sub>
                  <m:r>
                    <m:t>i</m:t>
                  </m:r>
                  <m:r>
                    <m:t>j</m:t>
                  </m:r>
                </m:sub>
              </m:sSub>
              <m:r>
                <m:rPr>
                  <m:sty m:val="p"/>
                </m:rPr>
                <m:t>*</m:t>
              </m:r>
              <m:sSub>
                <m:e>
                  <m:sSub>
                    <m:e>
                      <m:r>
                        <m:t>x</m:t>
                      </m:r>
                    </m:e>
                    <m:sub>
                      <m:r>
                        <m:t>h</m:t>
                      </m:r>
                      <m:r>
                        <m:t>i</m:t>
                      </m:r>
                      <m:r>
                        <m:t>s</m:t>
                      </m:r>
                      <m:r>
                        <m:t>t</m:t>
                      </m:r>
                    </m:sub>
                  </m:sSub>
                </m:e>
                <m:sub>
                  <m:r>
                    <m:t>j</m:t>
                  </m:r>
                </m:sub>
              </m:sSub>
            </m:num>
            <m:den>
              <m:nary>
                <m:naryPr>
                  <m:chr m:val="∑"/>
                  <m:limLoc m:val="undOvr"/>
                  <m:subHide m:val="off"/>
                  <m:supHide m:val="off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J</m:t>
                  </m:r>
                </m:sup>
                <m:e>
                  <m:nary>
                    <m:naryPr>
                      <m:chr m:val="∑"/>
                      <m:limLoc m:val="undOvr"/>
                      <m:subHide m:val="off"/>
                      <m:supHide m:val="off"/>
                    </m:naryPr>
                    <m:sub>
                      <m:r>
                        <m:t>i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I</m:t>
                      </m:r>
                    </m:sup>
                    <m:e>
                      <m:sSub>
                        <m:e>
                          <m:r>
                            <m:t>E</m:t>
                          </m:r>
                        </m:e>
                        <m:sub>
                          <m:r>
                            <m:t>i</m:t>
                          </m:r>
                          <m:r>
                            <m:t>j</m:t>
                          </m:r>
                        </m:sub>
                      </m:sSub>
                    </m:e>
                  </m:nary>
                </m:e>
              </m:nary>
            </m:den>
          </m:f>
        </m:oMath>
      </m:oMathPara>
    </w:p>
    <w:p>
      <w:pPr>
        <w:pStyle w:val="FirstParagraph"/>
      </w:pPr>
      <w:r>
        <w:t xml:space="preserve">Whereby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sSub>
                <m:e>
                  <m:r>
                    <m:t>x</m:t>
                  </m:r>
                </m:e>
                <m:sub>
                  <m:r>
                    <m:t>h</m:t>
                  </m:r>
                  <m:r>
                    <m:t>i</m:t>
                  </m:r>
                  <m:r>
                    <m:t>s</m:t>
                  </m:r>
                  <m:r>
                    <m:t>t</m:t>
                  </m:r>
                </m:sub>
              </m:sSub>
            </m:e>
            <m:sub>
              <m:r>
                <m:t>j</m:t>
              </m:r>
            </m:sub>
          </m:sSub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−</m:t>
          </m:r>
          <m:sSub>
            <m:e>
              <m:sSub>
                <m:e>
                  <m:r>
                    <m:t>p</m:t>
                  </m:r>
                </m:e>
                <m:sub>
                  <m:r>
                    <m:t>h</m:t>
                  </m:r>
                  <m:r>
                    <m:t>i</m:t>
                  </m:r>
                  <m:r>
                    <m:t>s</m:t>
                  </m:r>
                  <m:r>
                    <m:t>t</m:t>
                  </m:r>
                </m:sub>
              </m:sSub>
            </m:e>
            <m:sub>
              <m:r>
                <m:t>j</m:t>
              </m:r>
            </m:sub>
          </m:sSub>
        </m:oMath>
      </m:oMathPara>
    </w:p>
    <w:p>
      <w:pPr>
        <w:pStyle w:val="FirstParagraph"/>
      </w:pPr>
      <w:r>
        <w:t xml:space="preserve">The factor</w:t>
      </w:r>
      <w:r>
        <w:t xml:space="preserve"> </w:t>
      </w:r>
      <m:oMath>
        <m:sSub>
          <m:e>
            <m:sSub>
              <m:e>
                <m:r>
                  <m:t>x</m:t>
                </m:r>
              </m:e>
              <m:sub>
                <m:r>
                  <m:t>h</m:t>
                </m:r>
                <m:r>
                  <m:t>i</m:t>
                </m:r>
                <m:r>
                  <m:t>s</m:t>
                </m:r>
                <m:r>
                  <m:t>t</m:t>
                </m:r>
              </m:sub>
            </m:sSub>
          </m:e>
          <m:sub>
            <m:r>
              <m:t>j</m:t>
            </m:r>
          </m:sub>
        </m:sSub>
      </m:oMath>
      <w:r>
        <w:t xml:space="preserve"> </w:t>
      </w:r>
      <w:r>
        <w:t xml:space="preserve">is sex- and histology-specific, but the same for all age-groups and regions.</w:t>
      </w:r>
    </w:p>
    <w:p>
      <w:pPr>
        <w:pStyle w:val="BodyText"/>
      </w:pPr>
      <w:r>
        <w:t xml:space="preserve">Generalized for any given</w:t>
      </w:r>
      <w:r>
        <w:t xml:space="preserve"> </w:t>
      </w:r>
      <m:oMath>
        <m:r>
          <m:t>S</m:t>
        </m:r>
        <m:r>
          <m:t>I</m:t>
        </m:r>
        <m:sSub>
          <m:e>
            <m:r>
              <m:t>R</m:t>
            </m:r>
          </m:e>
          <m:sub>
            <m:r>
              <m:t>r</m:t>
            </m:r>
            <m:r>
              <m:t>e</m:t>
            </m:r>
            <m:r>
              <m:t>a</m:t>
            </m:r>
            <m:r>
              <m:t>l</m:t>
            </m:r>
          </m:sub>
        </m:sSub>
      </m:oMath>
      <w:r>
        <w:t xml:space="preserve">, the simulation would give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r>
            <m:t>I</m:t>
          </m:r>
          <m:sSub>
            <m:e>
              <m:r>
                <m:t>R</m:t>
              </m:r>
            </m:e>
            <m:sub>
              <m:r>
                <m:t>s</m:t>
              </m:r>
              <m:r>
                <m:t>i</m:t>
              </m:r>
              <m:r>
                <m:t>m</m:t>
              </m:r>
              <m:r>
                <m:t>I</m:t>
              </m:r>
              <m:r>
                <m:t>A</m:t>
              </m:r>
              <m:r>
                <m:t>R</m:t>
              </m:r>
              <m:r>
                <m:t>C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off"/>
                  <m:supHide m:val="off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J</m:t>
                  </m:r>
                </m:sup>
                <m:e>
                  <m:nary>
                    <m:naryPr>
                      <m:chr m:val="∑"/>
                      <m:limLoc m:val="undOvr"/>
                      <m:subHide m:val="off"/>
                      <m:supHide m:val="off"/>
                    </m:naryPr>
                    <m:sub>
                      <m:r>
                        <m:t>i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I</m:t>
                      </m:r>
                    </m:sup>
                    <m:e>
                      <m:r>
                        <m:t>S</m:t>
                      </m:r>
                    </m:e>
                  </m:nary>
                </m:e>
              </m:nary>
              <m:r>
                <m:t>I</m:t>
              </m:r>
              <m:sSub>
                <m:e>
                  <m:r>
                    <m:t>R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*</m:t>
              </m:r>
              <m:r>
                <m:t>p</m:t>
              </m:r>
              <m:r>
                <m:t>y</m:t>
              </m:r>
              <m:r>
                <m:t>e</m:t>
              </m:r>
              <m:r>
                <m:t>a</m:t>
              </m:r>
              <m:r>
                <m:t>r</m:t>
              </m:r>
              <m:sSub>
                <m:e>
                  <m:r>
                    <m:t>s</m:t>
                  </m:r>
                </m:e>
                <m:sub>
                  <m:r>
                    <m:t>i</m:t>
                  </m:r>
                  <m:r>
                    <m:t>j</m:t>
                  </m:r>
                </m:sub>
              </m:sSub>
              <m:r>
                <m:rPr>
                  <m:sty m:val="p"/>
                </m:rPr>
                <m:t>*</m:t>
              </m:r>
              <m:r>
                <m:t>I</m:t>
              </m:r>
              <m:sSub>
                <m:e>
                  <m:r>
                    <m:t>R</m:t>
                  </m:r>
                </m:e>
                <m:sub>
                  <m:r>
                    <m:t>i</m:t>
                  </m:r>
                  <m:r>
                    <m:t>j</m:t>
                  </m:r>
                </m:sub>
              </m:sSub>
              <m:r>
                <m:rPr>
                  <m:sty m:val="p"/>
                </m:rPr>
                <m:t>*</m:t>
              </m:r>
              <m:sSub>
                <m:e>
                  <m:sSub>
                    <m:e>
                      <m:r>
                        <m:t>x</m:t>
                      </m:r>
                    </m:e>
                    <m:sub>
                      <m:r>
                        <m:t>h</m:t>
                      </m:r>
                      <m:r>
                        <m:t>i</m:t>
                      </m:r>
                      <m:r>
                        <m:t>s</m:t>
                      </m:r>
                      <m:r>
                        <m:t>t</m:t>
                      </m:r>
                    </m:sub>
                  </m:sSub>
                </m:e>
                <m:sub>
                  <m:r>
                    <m:t>j</m:t>
                  </m:r>
                </m:sub>
              </m:sSub>
            </m:num>
            <m:den>
              <m:nary>
                <m:naryPr>
                  <m:chr m:val="∑"/>
                  <m:limLoc m:val="undOvr"/>
                  <m:subHide m:val="off"/>
                  <m:supHide m:val="off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J</m:t>
                  </m:r>
                </m:sup>
                <m:e>
                  <m:nary>
                    <m:naryPr>
                      <m:chr m:val="∑"/>
                      <m:limLoc m:val="undOvr"/>
                      <m:subHide m:val="off"/>
                      <m:supHide m:val="off"/>
                    </m:naryPr>
                    <m:sub>
                      <m:r>
                        <m:t>i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I</m:t>
                      </m:r>
                    </m:sup>
                    <m:e>
                      <m:r>
                        <m:t>p</m:t>
                      </m:r>
                    </m:e>
                  </m:nary>
                </m:e>
              </m:nary>
              <m:r>
                <m:t>y</m:t>
              </m:r>
              <m:r>
                <m:t>e</m:t>
              </m:r>
              <m:r>
                <m:t>a</m:t>
              </m:r>
              <m:r>
                <m:t>r</m:t>
              </m:r>
              <m:sSub>
                <m:e>
                  <m:r>
                    <m:t>s</m:t>
                  </m:r>
                </m:e>
                <m:sub>
                  <m:r>
                    <m:t>i</m:t>
                  </m:r>
                  <m:r>
                    <m:t>j</m:t>
                  </m:r>
                </m:sub>
              </m:sSub>
              <m:r>
                <m:rPr>
                  <m:sty m:val="p"/>
                </m:rPr>
                <m:t>*</m:t>
              </m:r>
              <m:r>
                <m:t>I</m:t>
              </m:r>
              <m:sSub>
                <m:e>
                  <m:r>
                    <m:t>R</m:t>
                  </m:r>
                </m:e>
                <m:sub>
                  <m:r>
                    <m:t>i</m:t>
                  </m:r>
                  <m:r>
                    <m:t>j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Additionally to the scenario of no risk difference (</w:t>
      </w:r>
      <m:oMath>
        <m:r>
          <m:t>S</m:t>
        </m:r>
        <m:r>
          <m:t>I</m:t>
        </m:r>
        <m:sSub>
          <m:e>
            <m:r>
              <m:t>R</m:t>
            </m:r>
          </m:e>
          <m:sub>
            <m:r>
              <m:t>r</m:t>
            </m:r>
            <m:r>
              <m:t>e</m:t>
            </m:r>
            <m:r>
              <m:t>a</m:t>
            </m:r>
            <m:r>
              <m:t>l</m:t>
            </m:r>
          </m:sub>
        </m:sSub>
        <m:r>
          <m:rPr>
            <m:sty m:val="p"/>
          </m:rPr>
          <m:t>=</m:t>
        </m:r>
        <m:r>
          <m:t>1.0</m:t>
        </m:r>
      </m:oMath>
      <w:r>
        <w:t xml:space="preserve">), we also simulate a true doubling of SPLC risk for LC survivors (</w:t>
      </w:r>
      <m:oMath>
        <m:r>
          <m:t>S</m:t>
        </m:r>
        <m:r>
          <m:t>I</m:t>
        </m:r>
        <m:sSub>
          <m:e>
            <m:r>
              <m:t>R</m:t>
            </m:r>
          </m:e>
          <m:sub>
            <m:r>
              <m:t>r</m:t>
            </m:r>
            <m:r>
              <m:t>e</m:t>
            </m:r>
            <m:r>
              <m:t>a</m:t>
            </m:r>
            <m:r>
              <m:t>l</m:t>
            </m:r>
          </m:sub>
        </m:sSub>
        <m:r>
          <m:rPr>
            <m:sty m:val="p"/>
          </m:rPr>
          <m:t>=</m:t>
        </m:r>
        <m:r>
          <m:t>2.0</m:t>
        </m:r>
      </m:oMath>
      <w:r>
        <w:t xml:space="preserve">) and a risk increase comparable to data of U.S. lung cancer survivors for males (</w:t>
      </w:r>
      <m:oMath>
        <m:r>
          <m:t>S</m:t>
        </m:r>
        <m:r>
          <m:t>I</m:t>
        </m:r>
        <m:sSub>
          <m:e>
            <m:r>
              <m:t>R</m:t>
            </m:r>
          </m:e>
          <m:sub>
            <m:r>
              <m:t>r</m:t>
            </m:r>
            <m:r>
              <m:t>e</m:t>
            </m:r>
            <m:r>
              <m:t>a</m:t>
            </m:r>
            <m:r>
              <m:t>l</m:t>
            </m:r>
          </m:sub>
        </m:sSub>
        <m:r>
          <m:rPr>
            <m:sty m:val="p"/>
          </m:rPr>
          <m:t>=</m:t>
        </m:r>
        <m:r>
          <m:t>3.38</m:t>
        </m:r>
      </m:oMath>
      <w:r>
        <w:t xml:space="preserve">) and females (</w:t>
      </w:r>
      <m:oMath>
        <m:r>
          <m:t>S</m:t>
        </m:r>
        <m:r>
          <m:t>I</m:t>
        </m:r>
        <m:sSub>
          <m:e>
            <m:r>
              <m:t>R</m:t>
            </m:r>
          </m:e>
          <m:sub>
            <m:r>
              <m:t>r</m:t>
            </m:r>
            <m:r>
              <m:t>e</m:t>
            </m:r>
            <m:r>
              <m:t>a</m:t>
            </m:r>
            <m:r>
              <m:t>l</m:t>
            </m:r>
          </m:sub>
        </m:sSub>
        <m:r>
          <m:rPr>
            <m:sty m:val="p"/>
          </m:rPr>
          <m:t>=</m:t>
        </m:r>
        <m:r>
          <m:t>4.85</m:t>
        </m:r>
      </m:oMath>
      <w:r>
        <w:t xml:space="preserve">) published by Thakur et al.</w:t>
      </w:r>
      <w:r>
        <w:t xml:space="preserve"> </w:t>
      </w:r>
      <w:r>
        <w:t xml:space="preserve">[1]</w:t>
      </w:r>
      <w:r>
        <w:t xml:space="preserve">.</w:t>
      </w:r>
    </w:p>
    <w:bookmarkEnd w:id="40"/>
    <w:bookmarkStart w:id="46" w:name="X804d5fff7b066254ca207ceee9c71f056cfb159"/>
    <w:p>
      <w:pPr>
        <w:pStyle w:val="Heading2"/>
      </w:pPr>
      <w:r>
        <w:t xml:space="preserve">Figure S7: Histological groups of LC and SPLC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5" w:name="fig-supp_hist"/>
          <w:p>
            <w:pPr>
              <w:pStyle w:val="Compact"/>
              <w:jc w:val="center"/>
            </w:pPr>
            <w:bookmarkStart w:id="44" w:name="fig-supp_hist"/>
            <w:r>
              <w:drawing>
                <wp:inline>
                  <wp:extent cx="5334000" cy="2667000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../3_output/all_figs_tabs/supp_fig_hist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</w:t>
            </w:r>
          </w:p>
          <w:bookmarkEnd w:id="45"/>
        </w:tc>
      </w:tr>
    </w:tbl>
    <w:bookmarkEnd w:id="46"/>
    <w:bookmarkStart w:id="50" w:name="supp-samehist"/>
    <w:p>
      <w:pPr>
        <w:pStyle w:val="Heading2"/>
      </w:pPr>
      <w:r>
        <w:t xml:space="preserve">Table S8: Frequency of same-histology SPLC by region</w:t>
      </w:r>
    </w:p>
    <w:p>
      <w:pPr>
        <w:pStyle w:val="FirstParagraph"/>
      </w:pPr>
      <w:r>
        <w:drawing>
          <wp:inline>
            <wp:extent cx="5334000" cy="644080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../3_output/all_figs_tabs/supp_tab_samehist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40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6" w:name="X5026818f30400b5a3e792110cbf7d486ecbcaa3"/>
    <w:p>
      <w:pPr>
        <w:pStyle w:val="Heading2"/>
      </w:pPr>
      <w:r>
        <w:t xml:space="preserve">Figure S9: Relative risk for SPLC in lung cancer survivors stratified by follow-up time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5" w:name="fig-supp_byfutime"/>
          <w:p>
            <w:pPr>
              <w:pStyle w:val="Compact"/>
              <w:jc w:val="center"/>
            </w:pPr>
            <w:bookmarkStart w:id="54" w:name="fig-supp_byfutime"/>
            <w:r>
              <w:drawing>
                <wp:inline>
                  <wp:extent cx="5334000" cy="4267200"/>
                  <wp:effectExtent b="0" l="0" r="0" t="0"/>
                  <wp:docPr descr="" title="" id="52" name="Picture"/>
                  <a:graphic>
                    <a:graphicData uri="http://schemas.openxmlformats.org/drawingml/2006/picture">
                      <pic:pic>
                        <pic:nvPicPr>
                          <pic:cNvPr descr="../3_output/all_figs_tabs/supp_fig_byfutime.png" id="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</w:t>
            </w:r>
          </w:p>
          <w:bookmarkEnd w:id="55"/>
        </w:tc>
      </w:tr>
    </w:tbl>
    <w:bookmarkEnd w:id="56"/>
    <w:bookmarkStart w:id="60" w:name="supp-sensa"/>
    <w:p>
      <w:pPr>
        <w:pStyle w:val="Heading2"/>
      </w:pPr>
      <w:r>
        <w:t xml:space="preserve">Table S10: Sensitivity analysis A – Risk of SPLC using unadjusted and histology-specific SIR method [restricted to six German PBCR with low DCO rate]</w:t>
      </w:r>
    </w:p>
    <w:p>
      <w:pPr>
        <w:pStyle w:val="FirstParagraph"/>
      </w:pPr>
      <w:r>
        <w:drawing>
          <wp:inline>
            <wp:extent cx="5334000" cy="6809201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../3_output/all_figs_tabs/supp_tab_sensa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09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7" w:name="supp-sensb"/>
    <w:p>
      <w:pPr>
        <w:pStyle w:val="Heading2"/>
      </w:pPr>
      <w:r>
        <w:t xml:space="preserve">Table S11: Sensitivity analysis B – Risk of SPLC using unadjusted and histology-specific SIR method [SEER restricted to White population]</w:t>
      </w:r>
    </w:p>
    <w:p>
      <w:pPr>
        <w:pStyle w:val="FirstParagraph"/>
      </w:pPr>
      <w:r>
        <w:drawing>
          <wp:inline>
            <wp:extent cx="5334000" cy="4955172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../3_output/all_figs_tabs/supp_tab_sensb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5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refs"/>
    <w:bookmarkStart w:id="65" w:name="ref-thakurRiskSecondLung2018"/>
    <w:p>
      <w:pPr>
        <w:pStyle w:val="Bibliography"/>
      </w:pPr>
      <w:r>
        <w:t xml:space="preserve">1. Thakur MK, Ruterbusch JJ, Schwartz AG, Gadgeel SM, Beebe-Dimmer JL, Wozniak AJ.</w:t>
      </w:r>
      <w:r>
        <w:t xml:space="preserve"> </w:t>
      </w:r>
      <w:hyperlink r:id="rId64">
        <w:r>
          <w:rPr>
            <w:rStyle w:val="Hyperlink"/>
          </w:rPr>
          <w:t xml:space="preserve">Risk 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Second Lung Cancer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Patients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Previously Treated Lung Cancer</w:t>
        </w:r>
        <w:r>
          <w:rPr>
            <w:rStyle w:val="Hyperlink"/>
          </w:rPr>
          <w:t xml:space="preserve">: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Analysis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Surveillance</w:t>
        </w:r>
        <w:r>
          <w:rPr>
            <w:rStyle w:val="Hyperlink"/>
          </w:rPr>
          <w:t xml:space="preserve">,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Epidemiology</w:t>
        </w:r>
        <w:r>
          <w:rPr>
            <w:rStyle w:val="Hyperlink"/>
          </w:rPr>
          <w:t xml:space="preserve">,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End Results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</w:t>
        </w:r>
        <w:r>
          <w:rPr>
            <w:rStyle w:val="Hyperlink"/>
          </w:rPr>
          <w:t xml:space="preserve">SEER</w:t>
        </w:r>
        <w:r>
          <w:rPr>
            <w:rStyle w:val="Hyperlink"/>
          </w:rPr>
          <w:t xml:space="preserve">)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</w:t>
        </w:r>
      </w:hyperlink>
      <w:r>
        <w:t xml:space="preserve">. J Thorac Oncol. 2018;13:46–53.</w:t>
      </w:r>
    </w:p>
    <w:bookmarkEnd w:id="65"/>
    <w:bookmarkEnd w:id="66"/>
    <w:bookmarkEnd w:id="67"/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1" Target="media/rId51.png" /><Relationship Type="http://schemas.openxmlformats.org/officeDocument/2006/relationships/image" Id="rId41" Target="media/rId41.png" /><Relationship Type="http://schemas.openxmlformats.org/officeDocument/2006/relationships/image" Id="rId20" Target="media/rId20.png" /><Relationship Type="http://schemas.openxmlformats.org/officeDocument/2006/relationships/image" Id="rId28" Target="media/rId28.png" /><Relationship Type="http://schemas.openxmlformats.org/officeDocument/2006/relationships/image" Id="rId24" Target="media/rId24.png" /><Relationship Type="http://schemas.openxmlformats.org/officeDocument/2006/relationships/image" Id="rId32" Target="media/rId32.png" /><Relationship Type="http://schemas.openxmlformats.org/officeDocument/2006/relationships/image" Id="rId47" Target="media/rId47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36" Target="media/rId36.png" /><Relationship Type="http://schemas.openxmlformats.org/officeDocument/2006/relationships/hyperlink" Id="rId64" Target="https://doi.org/10.1016/j.jtho.2017.09.1964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64" Target="https://doi.org/10.1016/j.jtho.2017.09.1964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Additional File 1 – Supplement S1-S11</dc:title>
  <dc:creator/>
  <cp:keywords>lung cancer, second primary cancer, cancer registry data, cancer epidemiology, standardized incidence ratio</cp:keywords>
  <dcterms:created xsi:type="dcterms:W3CDTF">2024-05-02T23:04:54Z</dcterms:created>
  <dcterms:modified xsi:type="dcterms:W3CDTF">2024-05-02T23:04:54Z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>pub_spc_sirmethods.bib</vt:lpwstr>
  </property>
  <property fmtid="{D5CDD505-2E9C-101B-9397-08002B2CF9AE}" pid="5" name="by-author">
    <vt:lpwstr/>
  </property>
  <property fmtid="{D5CDD505-2E9C-101B-9397-08002B2CF9AE}" pid="6" name="csl">
    <vt:lpwstr>bmc-medicine.csl</vt:lpwstr>
  </property>
  <property fmtid="{D5CDD505-2E9C-101B-9397-08002B2CF9AE}" pid="7" name="date">
    <vt:lpwstr>03 May 2024</vt:lpwstr>
  </property>
  <property fmtid="{D5CDD505-2E9C-101B-9397-08002B2CF9AE}" pid="8" name="date-format">
    <vt:lpwstr>DD MMMM YYYY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itle-block-banner">
    <vt:lpwstr>True</vt:lpwstr>
  </property>
  <property fmtid="{D5CDD505-2E9C-101B-9397-08002B2CF9AE}" pid="14" name="toc-title">
    <vt:lpwstr>Table of contents</vt:lpwstr>
  </property>
</Properties>
</file>